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AEC54" w14:textId="7C380522" w:rsidR="00CA76D5" w:rsidRPr="00CA76D5" w:rsidRDefault="00CA76D5" w:rsidP="00CA76D5">
      <w:pPr>
        <w:pStyle w:val="Heading1"/>
        <w:shd w:val="clear" w:color="auto" w:fill="FFFFFF"/>
        <w:spacing w:before="0" w:beforeAutospacing="0" w:after="120" w:afterAutospacing="0" w:line="450" w:lineRule="atLeast"/>
        <w:rPr>
          <w:rFonts w:ascii="HelveticaNeueLT" w:eastAsia="Times New Roman" w:hAnsi="HelveticaNeueLT" w:cs="Times New Roman"/>
          <w:color w:val="1D242A"/>
          <w:sz w:val="42"/>
          <w:szCs w:val="42"/>
        </w:rPr>
      </w:pPr>
      <w:r w:rsidRPr="00CA76D5">
        <w:rPr>
          <w:rFonts w:ascii="HelveticaNeueLT" w:eastAsia="Times New Roman" w:hAnsi="HelveticaNeueLT" w:cs="Times New Roman"/>
          <w:color w:val="1D242A"/>
          <w:sz w:val="42"/>
          <w:szCs w:val="42"/>
        </w:rPr>
        <w:t>ASHG Calls for State Licensing of Genetic Counselors</w:t>
      </w:r>
    </w:p>
    <w:p w14:paraId="449912F4" w14:textId="77777777" w:rsidR="00CA76D5" w:rsidRPr="00CA76D5" w:rsidRDefault="00CA76D5" w:rsidP="00CA76D5">
      <w:pPr>
        <w:shd w:val="clear" w:color="auto" w:fill="FFFFFF"/>
        <w:rPr>
          <w:rFonts w:ascii="HelveticaNeueLT" w:eastAsia="Times New Roman" w:hAnsi="HelveticaNeueLT" w:cs="Times New Roman"/>
          <w:color w:val="1D242A"/>
          <w:sz w:val="23"/>
          <w:szCs w:val="23"/>
        </w:rPr>
      </w:pPr>
      <w:r w:rsidRPr="00CA76D5">
        <w:rPr>
          <w:rFonts w:ascii="HelveticaNeueLT" w:eastAsia="Times New Roman" w:hAnsi="HelveticaNeueLT" w:cs="Times New Roman"/>
          <w:color w:val="1D242A"/>
          <w:sz w:val="23"/>
          <w:szCs w:val="23"/>
        </w:rPr>
        <w:t>Sep 11, 2015</w:t>
      </w:r>
    </w:p>
    <w:p w14:paraId="3F78FC92" w14:textId="77777777" w:rsidR="00CA76D5" w:rsidRPr="00CA76D5" w:rsidRDefault="00CA76D5" w:rsidP="00CA76D5">
      <w:pPr>
        <w:shd w:val="clear" w:color="auto" w:fill="FFFFFF"/>
        <w:rPr>
          <w:rFonts w:ascii="HelveticaNeueLT" w:eastAsia="Times New Roman" w:hAnsi="HelveticaNeueLT" w:cs="Times New Roman"/>
          <w:color w:val="1D242A"/>
          <w:sz w:val="23"/>
          <w:szCs w:val="23"/>
        </w:rPr>
      </w:pPr>
      <w:r w:rsidRPr="00CA76D5">
        <w:rPr>
          <w:rFonts w:ascii="HelveticaNeueLT" w:eastAsia="Times New Roman" w:hAnsi="HelveticaNeueLT" w:cs="Times New Roman"/>
          <w:color w:val="1D242A"/>
          <w:sz w:val="23"/>
          <w:szCs w:val="23"/>
        </w:rPr>
        <w:t> </w:t>
      </w:r>
    </w:p>
    <w:p w14:paraId="1F7E5664" w14:textId="77777777" w:rsidR="00CA76D5" w:rsidRPr="00CA76D5" w:rsidRDefault="00CA76D5" w:rsidP="00CA76D5">
      <w:pPr>
        <w:shd w:val="clear" w:color="auto" w:fill="FFFFFF"/>
        <w:rPr>
          <w:rFonts w:ascii="HelveticaNeueLT" w:eastAsia="Times New Roman" w:hAnsi="HelveticaNeueLT" w:cs="Times New Roman"/>
          <w:color w:val="1D242A"/>
          <w:sz w:val="23"/>
          <w:szCs w:val="23"/>
        </w:rPr>
      </w:pPr>
      <w:r w:rsidRPr="00CA76D5">
        <w:rPr>
          <w:rFonts w:ascii="HelveticaNeueLT" w:eastAsia="Times New Roman" w:hAnsi="HelveticaNeueLT" w:cs="Times New Roman"/>
          <w:color w:val="1D242A"/>
          <w:sz w:val="23"/>
          <w:szCs w:val="23"/>
        </w:rPr>
        <w:t>| </w:t>
      </w:r>
    </w:p>
    <w:p w14:paraId="4CC4FCA4" w14:textId="77777777" w:rsidR="00CA76D5" w:rsidRPr="00CA76D5" w:rsidRDefault="00472F3F" w:rsidP="00CA76D5">
      <w:pPr>
        <w:shd w:val="clear" w:color="auto" w:fill="FFFFFF"/>
        <w:rPr>
          <w:rFonts w:ascii="HelveticaNeueLT" w:eastAsia="Times New Roman" w:hAnsi="HelveticaNeueLT" w:cs="Times New Roman"/>
          <w:color w:val="1D242A"/>
          <w:sz w:val="23"/>
          <w:szCs w:val="23"/>
        </w:rPr>
      </w:pPr>
      <w:hyperlink r:id="rId4" w:history="1">
        <w:r w:rsidR="00CA76D5" w:rsidRPr="00CA76D5">
          <w:rPr>
            <w:rFonts w:ascii="HelveticaNeueLT" w:eastAsia="Times New Roman" w:hAnsi="HelveticaNeueLT" w:cs="Times New Roman"/>
            <w:color w:val="05ABF7"/>
            <w:sz w:val="23"/>
            <w:szCs w:val="23"/>
          </w:rPr>
          <w:t>staff reporter</w:t>
        </w:r>
      </w:hyperlink>
    </w:p>
    <w:p w14:paraId="3C1CEFE7" w14:textId="77777777" w:rsidR="00CA76D5" w:rsidRPr="00CA76D5" w:rsidRDefault="00CA76D5" w:rsidP="00CA76D5">
      <w:pPr>
        <w:shd w:val="clear" w:color="auto" w:fill="FFFFFF"/>
        <w:spacing w:after="240" w:line="285" w:lineRule="atLeast"/>
        <w:rPr>
          <w:rFonts w:ascii="HelveticaNeueLT" w:hAnsi="HelveticaNeueLT" w:cs="Times New Roman"/>
          <w:color w:val="1D242A"/>
          <w:sz w:val="23"/>
          <w:szCs w:val="23"/>
        </w:rPr>
      </w:pPr>
      <w:r w:rsidRPr="00CA76D5">
        <w:rPr>
          <w:rFonts w:ascii="HelveticaNeueLT" w:hAnsi="HelveticaNeueLT" w:cs="Times New Roman"/>
          <w:color w:val="1D242A"/>
          <w:sz w:val="23"/>
          <w:szCs w:val="23"/>
        </w:rPr>
        <w:t>NEW YORK (</w:t>
      </w:r>
      <w:proofErr w:type="spellStart"/>
      <w:r w:rsidRPr="00CA76D5">
        <w:rPr>
          <w:rFonts w:ascii="HelveticaNeueLT" w:hAnsi="HelveticaNeueLT" w:cs="Times New Roman"/>
          <w:color w:val="1D242A"/>
          <w:sz w:val="23"/>
          <w:szCs w:val="23"/>
        </w:rPr>
        <w:t>GenomeWeb</w:t>
      </w:r>
      <w:proofErr w:type="spellEnd"/>
      <w:r w:rsidRPr="00CA76D5">
        <w:rPr>
          <w:rFonts w:ascii="HelveticaNeueLT" w:hAnsi="HelveticaNeueLT" w:cs="Times New Roman"/>
          <w:color w:val="1D242A"/>
          <w:sz w:val="23"/>
          <w:szCs w:val="23"/>
        </w:rPr>
        <w:t>) — The American Society of Human Genetics (ASHG) yesterday announced a statement of support for state licensure of certified genetic counselors.</w:t>
      </w:r>
    </w:p>
    <w:p w14:paraId="3D2C3FF8" w14:textId="77777777" w:rsidR="00CA76D5" w:rsidRPr="00CA76D5" w:rsidRDefault="00CA76D5" w:rsidP="00CA76D5">
      <w:pPr>
        <w:shd w:val="clear" w:color="auto" w:fill="FFFFFF"/>
        <w:spacing w:before="240" w:after="240" w:line="285" w:lineRule="atLeast"/>
        <w:rPr>
          <w:rFonts w:ascii="HelveticaNeueLT" w:hAnsi="HelveticaNeueLT" w:cs="Times New Roman"/>
          <w:color w:val="1D242A"/>
          <w:sz w:val="23"/>
          <w:szCs w:val="23"/>
        </w:rPr>
      </w:pPr>
      <w:r w:rsidRPr="00CA76D5">
        <w:rPr>
          <w:rFonts w:ascii="HelveticaNeueLT" w:hAnsi="HelveticaNeueLT" w:cs="Times New Roman"/>
          <w:color w:val="1D242A"/>
          <w:sz w:val="23"/>
          <w:szCs w:val="23"/>
        </w:rPr>
        <w:t>To receive and maintain a license, counselors would need to receive a degree in genetic counseling, pass a national-level exam to receive certification, and fulfill continuing education requirements.</w:t>
      </w:r>
    </w:p>
    <w:p w14:paraId="659ED8C5" w14:textId="77777777" w:rsidR="00CA76D5" w:rsidRPr="00CA76D5" w:rsidRDefault="00CA76D5" w:rsidP="00CA76D5">
      <w:pPr>
        <w:shd w:val="clear" w:color="auto" w:fill="FFFFFF"/>
        <w:spacing w:before="240" w:after="240" w:line="285" w:lineRule="atLeast"/>
        <w:rPr>
          <w:rFonts w:ascii="HelveticaNeueLT" w:hAnsi="HelveticaNeueLT" w:cs="Times New Roman"/>
          <w:color w:val="1D242A"/>
          <w:sz w:val="23"/>
          <w:szCs w:val="23"/>
        </w:rPr>
      </w:pPr>
      <w:r w:rsidRPr="00CA76D5">
        <w:rPr>
          <w:rFonts w:ascii="HelveticaNeueLT" w:hAnsi="HelveticaNeueLT" w:cs="Times New Roman"/>
          <w:color w:val="1D242A"/>
          <w:sz w:val="23"/>
          <w:szCs w:val="23"/>
        </w:rPr>
        <w:t>There are currently 15 states that issue licenses for genetic counselors and six more have passed licensure laws. ASHG said its statement supports these states' decisions to license genetic counselors and encourages the remaining states to do the same.</w:t>
      </w:r>
    </w:p>
    <w:p w14:paraId="19EEE8F1" w14:textId="77777777" w:rsidR="00CA76D5" w:rsidRPr="00CA76D5" w:rsidRDefault="00CA76D5" w:rsidP="00CA76D5">
      <w:pPr>
        <w:shd w:val="clear" w:color="auto" w:fill="FFFFFF"/>
        <w:spacing w:before="240" w:after="240" w:line="285" w:lineRule="atLeast"/>
        <w:rPr>
          <w:rFonts w:ascii="HelveticaNeueLT" w:hAnsi="HelveticaNeueLT" w:cs="Times New Roman"/>
          <w:color w:val="1D242A"/>
          <w:sz w:val="23"/>
          <w:szCs w:val="23"/>
        </w:rPr>
      </w:pPr>
      <w:r w:rsidRPr="00CA76D5">
        <w:rPr>
          <w:rFonts w:ascii="HelveticaNeueLT" w:hAnsi="HelveticaNeueLT" w:cs="Times New Roman"/>
          <w:color w:val="1D242A"/>
          <w:sz w:val="23"/>
          <w:szCs w:val="23"/>
        </w:rPr>
        <w:t xml:space="preserve">"State licensure of certified counselors will help ensure that the healthcare system has a qualified workforce to provide genetic and genomic services for the growing number of patients and families who need them," ASHG President Neil </w:t>
      </w:r>
      <w:proofErr w:type="spellStart"/>
      <w:r w:rsidRPr="00CA76D5">
        <w:rPr>
          <w:rFonts w:ascii="HelveticaNeueLT" w:hAnsi="HelveticaNeueLT" w:cs="Times New Roman"/>
          <w:color w:val="1D242A"/>
          <w:sz w:val="23"/>
          <w:szCs w:val="23"/>
        </w:rPr>
        <w:t>Risch</w:t>
      </w:r>
      <w:proofErr w:type="spellEnd"/>
      <w:r w:rsidRPr="00CA76D5">
        <w:rPr>
          <w:rFonts w:ascii="HelveticaNeueLT" w:hAnsi="HelveticaNeueLT" w:cs="Times New Roman"/>
          <w:color w:val="1D242A"/>
          <w:sz w:val="23"/>
          <w:szCs w:val="23"/>
        </w:rPr>
        <w:t xml:space="preserve"> said in a statement.  "Healthcare reform and the rapidly expanding role of genomics in healthcare decisions will increase the demand for qualified genetics professionals,"</w:t>
      </w:r>
    </w:p>
    <w:p w14:paraId="7D6B2430" w14:textId="77777777" w:rsidR="00CA76D5" w:rsidRPr="00CA76D5" w:rsidRDefault="00CA76D5" w:rsidP="00CA76D5">
      <w:pPr>
        <w:shd w:val="clear" w:color="auto" w:fill="FFFFFF"/>
        <w:spacing w:before="240" w:after="240" w:line="285" w:lineRule="atLeast"/>
        <w:rPr>
          <w:rFonts w:ascii="HelveticaNeueLT" w:hAnsi="HelveticaNeueLT" w:cs="Times New Roman"/>
          <w:color w:val="1D242A"/>
          <w:sz w:val="23"/>
          <w:szCs w:val="23"/>
        </w:rPr>
      </w:pPr>
      <w:r w:rsidRPr="00CA76D5">
        <w:rPr>
          <w:rFonts w:ascii="HelveticaNeueLT" w:hAnsi="HelveticaNeueLT" w:cs="Times New Roman"/>
          <w:color w:val="1D242A"/>
          <w:sz w:val="23"/>
          <w:szCs w:val="23"/>
        </w:rPr>
        <w:t xml:space="preserve">Joy Larsen </w:t>
      </w:r>
      <w:proofErr w:type="spellStart"/>
      <w:r w:rsidRPr="00CA76D5">
        <w:rPr>
          <w:rFonts w:ascii="HelveticaNeueLT" w:hAnsi="HelveticaNeueLT" w:cs="Times New Roman"/>
          <w:color w:val="1D242A"/>
          <w:sz w:val="23"/>
          <w:szCs w:val="23"/>
        </w:rPr>
        <w:t>Haidle</w:t>
      </w:r>
      <w:proofErr w:type="spellEnd"/>
      <w:r w:rsidRPr="00CA76D5">
        <w:rPr>
          <w:rFonts w:ascii="HelveticaNeueLT" w:hAnsi="HelveticaNeueLT" w:cs="Times New Roman"/>
          <w:color w:val="1D242A"/>
          <w:sz w:val="23"/>
          <w:szCs w:val="23"/>
        </w:rPr>
        <w:t>, president of the National Society of Genetic Counselors added, "NSGC supports state licensure of genetic counselors in accordance with our guiding principles, which aim to ensure that licensing laws cover a similar scope across states and maximize flexibility among states in how genetic counselors practice."</w:t>
      </w:r>
    </w:p>
    <w:p w14:paraId="12583FF3" w14:textId="77777777" w:rsidR="00CA76D5" w:rsidRPr="00CA76D5" w:rsidRDefault="00CA76D5" w:rsidP="00CA76D5">
      <w:pPr>
        <w:shd w:val="clear" w:color="auto" w:fill="FFFFFF"/>
        <w:spacing w:before="240" w:line="285" w:lineRule="atLeast"/>
        <w:rPr>
          <w:rFonts w:ascii="HelveticaNeueLT" w:hAnsi="HelveticaNeueLT" w:cs="Times New Roman"/>
          <w:color w:val="1D242A"/>
          <w:sz w:val="23"/>
          <w:szCs w:val="23"/>
        </w:rPr>
      </w:pPr>
      <w:r w:rsidRPr="00CA76D5">
        <w:rPr>
          <w:rFonts w:ascii="HelveticaNeueLT" w:hAnsi="HelveticaNeueLT" w:cs="Times New Roman"/>
          <w:color w:val="1D242A"/>
          <w:sz w:val="23"/>
          <w:szCs w:val="23"/>
        </w:rPr>
        <w:t>In March, ASHG issued a </w:t>
      </w:r>
      <w:hyperlink r:id="rId5" w:tgtFrame="_blank" w:history="1">
        <w:r w:rsidRPr="00CA76D5">
          <w:rPr>
            <w:rFonts w:ascii="HelveticaNeueLT" w:hAnsi="HelveticaNeueLT" w:cs="Times New Roman"/>
            <w:color w:val="05ABF7"/>
            <w:sz w:val="23"/>
            <w:szCs w:val="23"/>
          </w:rPr>
          <w:t>joint statement</w:t>
        </w:r>
      </w:hyperlink>
      <w:r w:rsidRPr="00CA76D5">
        <w:rPr>
          <w:rFonts w:ascii="HelveticaNeueLT" w:hAnsi="HelveticaNeueLT" w:cs="Times New Roman"/>
          <w:color w:val="1D242A"/>
          <w:sz w:val="23"/>
          <w:szCs w:val="23"/>
        </w:rPr>
        <w:t> with the European Society of Human Genetics on recommendations for implementing non-invasive prenatal testing. It also recently issued a </w:t>
      </w:r>
      <w:hyperlink r:id="rId6" w:history="1">
        <w:r w:rsidRPr="00CA76D5">
          <w:rPr>
            <w:rFonts w:ascii="HelveticaNeueLT" w:hAnsi="HelveticaNeueLT" w:cs="Times New Roman"/>
            <w:color w:val="05ABF7"/>
            <w:sz w:val="23"/>
            <w:szCs w:val="23"/>
          </w:rPr>
          <w:t>position statement</w:t>
        </w:r>
      </w:hyperlink>
      <w:r w:rsidRPr="00CA76D5">
        <w:rPr>
          <w:rFonts w:ascii="HelveticaNeueLT" w:hAnsi="HelveticaNeueLT" w:cs="Times New Roman"/>
          <w:color w:val="1D242A"/>
          <w:sz w:val="23"/>
          <w:szCs w:val="23"/>
        </w:rPr>
        <w:t> on genetic testing in children and adolescents.</w:t>
      </w:r>
    </w:p>
    <w:p w14:paraId="7F04A7B4" w14:textId="77777777" w:rsidR="00F86DFE" w:rsidRDefault="00472F3F">
      <w:bookmarkStart w:id="0" w:name="_GoBack"/>
      <w:bookmarkEnd w:id="0"/>
    </w:p>
    <w:sectPr w:rsidR="00F86DFE" w:rsidSect="00527CF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e">
    <w:altName w:val="Calibri"/>
    <w:charset w:val="00"/>
    <w:family w:val="auto"/>
    <w:pitch w:val="variable"/>
    <w:sig w:usb0="00000007" w:usb1="00000000" w:usb2="00000000" w:usb3="00000000" w:csb0="00000093" w:csb1="00000000"/>
  </w:font>
  <w:font w:name="HelveticaNeueL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6D5"/>
    <w:rsid w:val="00472F3F"/>
    <w:rsid w:val="00527CF7"/>
    <w:rsid w:val="00CA76D5"/>
    <w:rsid w:val="00CB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00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CA76D5"/>
    <w:pPr>
      <w:spacing w:before="100" w:beforeAutospacing="1" w:after="100" w:afterAutospacing="1"/>
      <w:outlineLvl w:val="0"/>
    </w:pPr>
    <w:rPr>
      <w:rFonts w:ascii="Calibre" w:hAnsi="Calibre"/>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6D5"/>
    <w:rPr>
      <w:rFonts w:ascii="Calibre" w:hAnsi="Calibre"/>
      <w:b/>
      <w:bCs/>
      <w:kern w:val="36"/>
      <w:sz w:val="48"/>
      <w:szCs w:val="48"/>
    </w:rPr>
  </w:style>
  <w:style w:type="character" w:customStyle="1" w:styleId="date-display-single">
    <w:name w:val="date-display-single"/>
    <w:basedOn w:val="DefaultParagraphFont"/>
    <w:rsid w:val="00CA76D5"/>
  </w:style>
  <w:style w:type="character" w:styleId="Hyperlink">
    <w:name w:val="Hyperlink"/>
    <w:basedOn w:val="DefaultParagraphFont"/>
    <w:uiPriority w:val="99"/>
    <w:semiHidden/>
    <w:unhideWhenUsed/>
    <w:rsid w:val="00CA76D5"/>
    <w:rPr>
      <w:color w:val="0000FF"/>
      <w:u w:val="single"/>
    </w:rPr>
  </w:style>
  <w:style w:type="paragraph" w:styleId="NormalWeb">
    <w:name w:val="Normal (Web)"/>
    <w:basedOn w:val="Normal"/>
    <w:uiPriority w:val="99"/>
    <w:semiHidden/>
    <w:unhideWhenUsed/>
    <w:rsid w:val="00CA76D5"/>
    <w:pPr>
      <w:spacing w:before="100" w:beforeAutospacing="1" w:after="100" w:afterAutospacing="1"/>
    </w:pPr>
    <w:rPr>
      <w:rFonts w:ascii="Calibre" w:hAnsi="Calibre"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459350">
      <w:bodyDiv w:val="1"/>
      <w:marLeft w:val="0"/>
      <w:marRight w:val="0"/>
      <w:marTop w:val="0"/>
      <w:marBottom w:val="0"/>
      <w:divBdr>
        <w:top w:val="none" w:sz="0" w:space="0" w:color="auto"/>
        <w:left w:val="none" w:sz="0" w:space="0" w:color="auto"/>
        <w:bottom w:val="none" w:sz="0" w:space="0" w:color="auto"/>
        <w:right w:val="none" w:sz="0" w:space="0" w:color="auto"/>
      </w:divBdr>
      <w:divsChild>
        <w:div w:id="877089569">
          <w:marLeft w:val="0"/>
          <w:marRight w:val="0"/>
          <w:marTop w:val="0"/>
          <w:marBottom w:val="150"/>
          <w:divBdr>
            <w:top w:val="none" w:sz="0" w:space="0" w:color="auto"/>
            <w:left w:val="none" w:sz="0" w:space="0" w:color="auto"/>
            <w:bottom w:val="none" w:sz="0" w:space="0" w:color="auto"/>
            <w:right w:val="none" w:sz="0" w:space="0" w:color="auto"/>
          </w:divBdr>
          <w:divsChild>
            <w:div w:id="745154928">
              <w:marLeft w:val="0"/>
              <w:marRight w:val="0"/>
              <w:marTop w:val="0"/>
              <w:marBottom w:val="0"/>
              <w:divBdr>
                <w:top w:val="none" w:sz="0" w:space="0" w:color="auto"/>
                <w:left w:val="none" w:sz="0" w:space="0" w:color="auto"/>
                <w:bottom w:val="none" w:sz="0" w:space="0" w:color="auto"/>
                <w:right w:val="none" w:sz="0" w:space="0" w:color="auto"/>
              </w:divBdr>
              <w:divsChild>
                <w:div w:id="1591084564">
                  <w:marLeft w:val="0"/>
                  <w:marRight w:val="0"/>
                  <w:marTop w:val="0"/>
                  <w:marBottom w:val="0"/>
                  <w:divBdr>
                    <w:top w:val="none" w:sz="0" w:space="0" w:color="auto"/>
                    <w:left w:val="none" w:sz="0" w:space="0" w:color="auto"/>
                    <w:bottom w:val="none" w:sz="0" w:space="0" w:color="auto"/>
                    <w:right w:val="none" w:sz="0" w:space="0" w:color="auto"/>
                  </w:divBdr>
                  <w:divsChild>
                    <w:div w:id="173956442">
                      <w:marLeft w:val="0"/>
                      <w:marRight w:val="0"/>
                      <w:marTop w:val="0"/>
                      <w:marBottom w:val="0"/>
                      <w:divBdr>
                        <w:top w:val="none" w:sz="0" w:space="0" w:color="auto"/>
                        <w:left w:val="none" w:sz="0" w:space="0" w:color="auto"/>
                        <w:bottom w:val="none" w:sz="0" w:space="0" w:color="auto"/>
                        <w:right w:val="none" w:sz="0" w:space="0" w:color="auto"/>
                      </w:divBdr>
                      <w:divsChild>
                        <w:div w:id="2616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1078">
                  <w:marLeft w:val="0"/>
                  <w:marRight w:val="0"/>
                  <w:marTop w:val="0"/>
                  <w:marBottom w:val="0"/>
                  <w:divBdr>
                    <w:top w:val="none" w:sz="0" w:space="0" w:color="auto"/>
                    <w:left w:val="none" w:sz="0" w:space="0" w:color="auto"/>
                    <w:bottom w:val="none" w:sz="0" w:space="0" w:color="auto"/>
                    <w:right w:val="none" w:sz="0" w:space="0" w:color="auto"/>
                  </w:divBdr>
                  <w:divsChild>
                    <w:div w:id="1523133145">
                      <w:marLeft w:val="0"/>
                      <w:marRight w:val="0"/>
                      <w:marTop w:val="0"/>
                      <w:marBottom w:val="0"/>
                      <w:divBdr>
                        <w:top w:val="none" w:sz="0" w:space="0" w:color="auto"/>
                        <w:left w:val="none" w:sz="0" w:space="0" w:color="auto"/>
                        <w:bottom w:val="none" w:sz="0" w:space="0" w:color="auto"/>
                        <w:right w:val="none" w:sz="0" w:space="0" w:color="auto"/>
                      </w:divBdr>
                      <w:divsChild>
                        <w:div w:id="8542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809588">
          <w:marLeft w:val="0"/>
          <w:marRight w:val="0"/>
          <w:marTop w:val="0"/>
          <w:marBottom w:val="0"/>
          <w:divBdr>
            <w:top w:val="none" w:sz="0" w:space="0" w:color="auto"/>
            <w:left w:val="none" w:sz="0" w:space="0" w:color="auto"/>
            <w:bottom w:val="none" w:sz="0" w:space="0" w:color="auto"/>
            <w:right w:val="none" w:sz="0" w:space="0" w:color="auto"/>
          </w:divBdr>
          <w:divsChild>
            <w:div w:id="1299218298">
              <w:marLeft w:val="0"/>
              <w:marRight w:val="0"/>
              <w:marTop w:val="0"/>
              <w:marBottom w:val="0"/>
              <w:divBdr>
                <w:top w:val="none" w:sz="0" w:space="0" w:color="auto"/>
                <w:left w:val="none" w:sz="0" w:space="0" w:color="auto"/>
                <w:bottom w:val="none" w:sz="0" w:space="0" w:color="auto"/>
                <w:right w:val="none" w:sz="0" w:space="0" w:color="auto"/>
              </w:divBdr>
              <w:divsChild>
                <w:div w:id="1294017804">
                  <w:marLeft w:val="0"/>
                  <w:marRight w:val="0"/>
                  <w:marTop w:val="0"/>
                  <w:marBottom w:val="0"/>
                  <w:divBdr>
                    <w:top w:val="none" w:sz="0" w:space="0" w:color="auto"/>
                    <w:left w:val="none" w:sz="0" w:space="0" w:color="auto"/>
                    <w:bottom w:val="none" w:sz="0" w:space="0" w:color="auto"/>
                    <w:right w:val="none" w:sz="0" w:space="0" w:color="auto"/>
                  </w:divBdr>
                  <w:divsChild>
                    <w:div w:id="395519291">
                      <w:marLeft w:val="0"/>
                      <w:marRight w:val="0"/>
                      <w:marTop w:val="0"/>
                      <w:marBottom w:val="225"/>
                      <w:divBdr>
                        <w:top w:val="none" w:sz="0" w:space="0" w:color="auto"/>
                        <w:left w:val="none" w:sz="0" w:space="0" w:color="auto"/>
                        <w:bottom w:val="none" w:sz="0" w:space="0" w:color="auto"/>
                        <w:right w:val="none" w:sz="0" w:space="0" w:color="auto"/>
                      </w:divBdr>
                      <w:divsChild>
                        <w:div w:id="1029600218">
                          <w:marLeft w:val="0"/>
                          <w:marRight w:val="0"/>
                          <w:marTop w:val="0"/>
                          <w:marBottom w:val="0"/>
                          <w:divBdr>
                            <w:top w:val="none" w:sz="0" w:space="0" w:color="auto"/>
                            <w:left w:val="none" w:sz="0" w:space="0" w:color="auto"/>
                            <w:bottom w:val="none" w:sz="0" w:space="0" w:color="auto"/>
                            <w:right w:val="none" w:sz="0" w:space="0" w:color="auto"/>
                          </w:divBdr>
                          <w:divsChild>
                            <w:div w:id="9238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257547">
      <w:bodyDiv w:val="1"/>
      <w:marLeft w:val="0"/>
      <w:marRight w:val="0"/>
      <w:marTop w:val="0"/>
      <w:marBottom w:val="0"/>
      <w:divBdr>
        <w:top w:val="none" w:sz="0" w:space="0" w:color="auto"/>
        <w:left w:val="none" w:sz="0" w:space="0" w:color="auto"/>
        <w:bottom w:val="none" w:sz="0" w:space="0" w:color="auto"/>
        <w:right w:val="none" w:sz="0" w:space="0" w:color="auto"/>
      </w:divBdr>
      <w:divsChild>
        <w:div w:id="1418865568">
          <w:marLeft w:val="0"/>
          <w:marRight w:val="0"/>
          <w:marTop w:val="0"/>
          <w:marBottom w:val="150"/>
          <w:divBdr>
            <w:top w:val="none" w:sz="0" w:space="0" w:color="auto"/>
            <w:left w:val="none" w:sz="0" w:space="0" w:color="auto"/>
            <w:bottom w:val="none" w:sz="0" w:space="0" w:color="auto"/>
            <w:right w:val="none" w:sz="0" w:space="0" w:color="auto"/>
          </w:divBdr>
          <w:divsChild>
            <w:div w:id="762184019">
              <w:marLeft w:val="0"/>
              <w:marRight w:val="0"/>
              <w:marTop w:val="0"/>
              <w:marBottom w:val="0"/>
              <w:divBdr>
                <w:top w:val="none" w:sz="0" w:space="0" w:color="auto"/>
                <w:left w:val="none" w:sz="0" w:space="0" w:color="auto"/>
                <w:bottom w:val="none" w:sz="0" w:space="0" w:color="auto"/>
                <w:right w:val="none" w:sz="0" w:space="0" w:color="auto"/>
              </w:divBdr>
              <w:divsChild>
                <w:div w:id="452481607">
                  <w:marLeft w:val="0"/>
                  <w:marRight w:val="0"/>
                  <w:marTop w:val="0"/>
                  <w:marBottom w:val="0"/>
                  <w:divBdr>
                    <w:top w:val="none" w:sz="0" w:space="0" w:color="auto"/>
                    <w:left w:val="none" w:sz="0" w:space="0" w:color="auto"/>
                    <w:bottom w:val="none" w:sz="0" w:space="0" w:color="auto"/>
                    <w:right w:val="none" w:sz="0" w:space="0" w:color="auto"/>
                  </w:divBdr>
                  <w:divsChild>
                    <w:div w:id="1088579265">
                      <w:marLeft w:val="0"/>
                      <w:marRight w:val="0"/>
                      <w:marTop w:val="0"/>
                      <w:marBottom w:val="0"/>
                      <w:divBdr>
                        <w:top w:val="none" w:sz="0" w:space="0" w:color="auto"/>
                        <w:left w:val="none" w:sz="0" w:space="0" w:color="auto"/>
                        <w:bottom w:val="none" w:sz="0" w:space="0" w:color="auto"/>
                        <w:right w:val="none" w:sz="0" w:space="0" w:color="auto"/>
                      </w:divBdr>
                      <w:divsChild>
                        <w:div w:id="6611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88269">
                  <w:marLeft w:val="0"/>
                  <w:marRight w:val="0"/>
                  <w:marTop w:val="0"/>
                  <w:marBottom w:val="0"/>
                  <w:divBdr>
                    <w:top w:val="none" w:sz="0" w:space="0" w:color="auto"/>
                    <w:left w:val="none" w:sz="0" w:space="0" w:color="auto"/>
                    <w:bottom w:val="none" w:sz="0" w:space="0" w:color="auto"/>
                    <w:right w:val="none" w:sz="0" w:space="0" w:color="auto"/>
                  </w:divBdr>
                  <w:divsChild>
                    <w:div w:id="1929340555">
                      <w:marLeft w:val="0"/>
                      <w:marRight w:val="0"/>
                      <w:marTop w:val="0"/>
                      <w:marBottom w:val="0"/>
                      <w:divBdr>
                        <w:top w:val="none" w:sz="0" w:space="0" w:color="auto"/>
                        <w:left w:val="none" w:sz="0" w:space="0" w:color="auto"/>
                        <w:bottom w:val="none" w:sz="0" w:space="0" w:color="auto"/>
                        <w:right w:val="none" w:sz="0" w:space="0" w:color="auto"/>
                      </w:divBdr>
                      <w:divsChild>
                        <w:div w:id="3498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754496">
          <w:marLeft w:val="0"/>
          <w:marRight w:val="0"/>
          <w:marTop w:val="0"/>
          <w:marBottom w:val="0"/>
          <w:divBdr>
            <w:top w:val="none" w:sz="0" w:space="0" w:color="auto"/>
            <w:left w:val="none" w:sz="0" w:space="0" w:color="auto"/>
            <w:bottom w:val="none" w:sz="0" w:space="0" w:color="auto"/>
            <w:right w:val="none" w:sz="0" w:space="0" w:color="auto"/>
          </w:divBdr>
          <w:divsChild>
            <w:div w:id="1149590372">
              <w:marLeft w:val="0"/>
              <w:marRight w:val="0"/>
              <w:marTop w:val="0"/>
              <w:marBottom w:val="0"/>
              <w:divBdr>
                <w:top w:val="none" w:sz="0" w:space="0" w:color="auto"/>
                <w:left w:val="none" w:sz="0" w:space="0" w:color="auto"/>
                <w:bottom w:val="none" w:sz="0" w:space="0" w:color="auto"/>
                <w:right w:val="none" w:sz="0" w:space="0" w:color="auto"/>
              </w:divBdr>
              <w:divsChild>
                <w:div w:id="1858349821">
                  <w:marLeft w:val="0"/>
                  <w:marRight w:val="0"/>
                  <w:marTop w:val="0"/>
                  <w:marBottom w:val="0"/>
                  <w:divBdr>
                    <w:top w:val="none" w:sz="0" w:space="0" w:color="auto"/>
                    <w:left w:val="none" w:sz="0" w:space="0" w:color="auto"/>
                    <w:bottom w:val="none" w:sz="0" w:space="0" w:color="auto"/>
                    <w:right w:val="none" w:sz="0" w:space="0" w:color="auto"/>
                  </w:divBdr>
                  <w:divsChild>
                    <w:div w:id="1831945717">
                      <w:marLeft w:val="0"/>
                      <w:marRight w:val="0"/>
                      <w:marTop w:val="0"/>
                      <w:marBottom w:val="225"/>
                      <w:divBdr>
                        <w:top w:val="none" w:sz="0" w:space="0" w:color="auto"/>
                        <w:left w:val="none" w:sz="0" w:space="0" w:color="auto"/>
                        <w:bottom w:val="none" w:sz="0" w:space="0" w:color="auto"/>
                        <w:right w:val="none" w:sz="0" w:space="0" w:color="auto"/>
                      </w:divBdr>
                      <w:divsChild>
                        <w:div w:id="612712442">
                          <w:marLeft w:val="0"/>
                          <w:marRight w:val="0"/>
                          <w:marTop w:val="0"/>
                          <w:marBottom w:val="0"/>
                          <w:divBdr>
                            <w:top w:val="none" w:sz="0" w:space="0" w:color="auto"/>
                            <w:left w:val="none" w:sz="0" w:space="0" w:color="auto"/>
                            <w:bottom w:val="none" w:sz="0" w:space="0" w:color="auto"/>
                            <w:right w:val="none" w:sz="0" w:space="0" w:color="auto"/>
                          </w:divBdr>
                          <w:divsChild>
                            <w:div w:id="4774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nomeweb.com/policy-legislation/%20%20%20/molecular-diagnostics/ashg-position-statement-provides-guidance-genetic-testing-children-and" TargetMode="External"/><Relationship Id="rId5" Type="http://schemas.openxmlformats.org/officeDocument/2006/relationships/hyperlink" Target="https://www.genomeweb.com/molecular-diagnostics/eshg-ashg-issue-joint-statement-nipt" TargetMode="External"/><Relationship Id="rId4" Type="http://schemas.openxmlformats.org/officeDocument/2006/relationships/hyperlink" Target="https://www.genomeweb.com/about-us/our-staff/staff-repo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Bolduc</dc:creator>
  <cp:keywords/>
  <dc:description/>
  <cp:lastModifiedBy>Andrea Secord</cp:lastModifiedBy>
  <cp:revision>2</cp:revision>
  <dcterms:created xsi:type="dcterms:W3CDTF">2018-03-05T01:35:00Z</dcterms:created>
  <dcterms:modified xsi:type="dcterms:W3CDTF">2019-11-11T22:58:00Z</dcterms:modified>
</cp:coreProperties>
</file>